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C66" w:rsidRDefault="000A5C66" w:rsidP="000A5C66">
      <w:pPr>
        <w:spacing w:line="360" w:lineRule="auto"/>
        <w:jc w:val="left"/>
        <w:rPr>
          <w:color w:val="FF0000"/>
          <w:sz w:val="24"/>
          <w:szCs w:val="24"/>
        </w:rPr>
      </w:pPr>
      <w:r>
        <w:rPr>
          <w:rFonts w:hint="eastAsia"/>
          <w:sz w:val="24"/>
          <w:szCs w:val="24"/>
        </w:rPr>
        <w:t>附件</w:t>
      </w:r>
      <w:r>
        <w:rPr>
          <w:rFonts w:hint="eastAsia"/>
          <w:sz w:val="24"/>
          <w:szCs w:val="24"/>
        </w:rPr>
        <w:t>2</w:t>
      </w:r>
    </w:p>
    <w:p w:rsidR="000A5C66" w:rsidRDefault="000A5C66" w:rsidP="000A5C66">
      <w:pPr>
        <w:spacing w:line="300" w:lineRule="auto"/>
        <w:jc w:val="center"/>
        <w:rPr>
          <w:rFonts w:ascii="黑体" w:eastAsia="黑体" w:hAnsi="黑体" w:cs="黑体"/>
          <w:b/>
          <w:bCs/>
          <w:sz w:val="32"/>
          <w:szCs w:val="32"/>
        </w:rPr>
      </w:pPr>
      <w:r>
        <w:rPr>
          <w:rFonts w:ascii="黑体" w:eastAsia="黑体" w:hAnsi="黑体" w:cs="黑体" w:hint="eastAsia"/>
          <w:b/>
          <w:bCs/>
          <w:sz w:val="32"/>
          <w:szCs w:val="32"/>
        </w:rPr>
        <w:t>首届全国大学生冶金科技竞赛概要</w:t>
      </w:r>
    </w:p>
    <w:p w:rsidR="000A5C66" w:rsidRDefault="000A5C66" w:rsidP="000A5C66">
      <w:pPr>
        <w:widowControl/>
        <w:spacing w:line="360" w:lineRule="auto"/>
        <w:ind w:firstLineChars="200" w:firstLine="480"/>
        <w:jc w:val="left"/>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2018年3月至8月，教育部材料类专业教学指导委员会金属材料与冶金工程专业教学</w:t>
      </w:r>
      <w:proofErr w:type="gramStart"/>
      <w:r>
        <w:rPr>
          <w:rFonts w:ascii="仿宋" w:eastAsia="仿宋" w:hAnsi="仿宋" w:cs="仿宋" w:hint="eastAsia"/>
          <w:color w:val="333333"/>
          <w:sz w:val="24"/>
          <w:szCs w:val="24"/>
          <w:shd w:val="clear" w:color="auto" w:fill="FFFFFF"/>
        </w:rPr>
        <w:t>指导分</w:t>
      </w:r>
      <w:proofErr w:type="gramEnd"/>
      <w:r>
        <w:rPr>
          <w:rFonts w:ascii="仿宋" w:eastAsia="仿宋" w:hAnsi="仿宋" w:cs="仿宋" w:hint="eastAsia"/>
          <w:color w:val="333333"/>
          <w:sz w:val="24"/>
          <w:szCs w:val="24"/>
          <w:shd w:val="clear" w:color="auto" w:fill="FFFFFF"/>
        </w:rPr>
        <w:t>委员会主办，昆明理工大学承办开展了首届全国大学生冶金科技竞赛。</w:t>
      </w:r>
    </w:p>
    <w:p w:rsidR="000A5C66" w:rsidRDefault="000A5C66" w:rsidP="000A5C66">
      <w:pPr>
        <w:widowControl/>
        <w:spacing w:line="360" w:lineRule="auto"/>
        <w:ind w:firstLineChars="200" w:firstLine="480"/>
        <w:jc w:val="left"/>
        <w:rPr>
          <w:rFonts w:ascii="仿宋" w:eastAsia="仿宋" w:hAnsi="仿宋" w:cs="仿宋"/>
          <w:color w:val="FF0000"/>
          <w:sz w:val="24"/>
          <w:szCs w:val="24"/>
          <w:shd w:val="clear" w:color="auto" w:fill="FFFFFF"/>
        </w:rPr>
      </w:pPr>
      <w:r>
        <w:rPr>
          <w:rFonts w:ascii="仿宋" w:eastAsia="仿宋" w:hAnsi="仿宋" w:cs="仿宋" w:hint="eastAsia"/>
          <w:color w:val="333333"/>
          <w:sz w:val="24"/>
          <w:szCs w:val="24"/>
          <w:shd w:val="clear" w:color="auto" w:fill="FFFFFF"/>
        </w:rPr>
        <w:t>首届竞赛主题为“绿色与智能冶金”，包含创意设计、科技创新、仿真实训三个竞赛单元。大赛共吸引全国27所高校的237支队伍报名参赛，经过初评、会评逐级选拔，共有95支参赛队伍入围最终决赛。大赛最终产生7项特等奖、34项一等奖、52项二等奖、113项优秀奖。其中，各单元特等奖获奖作品及信息如下表所示。</w:t>
      </w:r>
    </w:p>
    <w:p w:rsidR="000A5C66" w:rsidRDefault="000A5C66" w:rsidP="000A5C66">
      <w:pPr>
        <w:widowControl/>
        <w:spacing w:line="360" w:lineRule="auto"/>
        <w:ind w:firstLineChars="200" w:firstLine="480"/>
        <w:jc w:val="left"/>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首届竞赛由教育部材料类专业教学指导委员会副主任委员、东北大学姜茂发教授担任竞赛工作委员会主任，重庆大学白晨光教授担任竞赛专家委员会主任，昆明理工大学冶金与能源工程学院院长马文会教授担任竞赛组织委员会主任。</w:t>
      </w:r>
    </w:p>
    <w:p w:rsidR="000A5C66" w:rsidRDefault="000A5C66" w:rsidP="000A5C66">
      <w:pPr>
        <w:widowControl/>
        <w:spacing w:line="360" w:lineRule="auto"/>
        <w:ind w:firstLineChars="200" w:firstLine="482"/>
        <w:jc w:val="center"/>
        <w:rPr>
          <w:rFonts w:ascii="仿宋" w:eastAsia="仿宋" w:hAnsi="仿宋" w:cs="仿宋"/>
          <w:color w:val="333333"/>
          <w:shd w:val="clear" w:color="auto" w:fill="FFFFFF"/>
        </w:rPr>
      </w:pPr>
      <w:r>
        <w:rPr>
          <w:rFonts w:ascii="仿宋" w:eastAsia="仿宋" w:hAnsi="仿宋" w:cs="仿宋" w:hint="eastAsia"/>
          <w:b/>
          <w:bCs/>
          <w:sz w:val="24"/>
          <w:szCs w:val="24"/>
        </w:rPr>
        <w:t>首届全国大学生冶金科技竞赛特等奖名单</w:t>
      </w:r>
    </w:p>
    <w:tbl>
      <w:tblPr>
        <w:tblW w:w="930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2795"/>
        <w:gridCol w:w="2904"/>
        <w:gridCol w:w="1364"/>
        <w:gridCol w:w="1296"/>
      </w:tblGrid>
      <w:tr w:rsidR="000A5C66" w:rsidTr="00FB1278">
        <w:trPr>
          <w:trHeight w:val="308"/>
        </w:trPr>
        <w:tc>
          <w:tcPr>
            <w:tcW w:w="941" w:type="dxa"/>
            <w:shd w:val="clear" w:color="auto" w:fill="auto"/>
          </w:tcPr>
          <w:p w:rsidR="000A5C66" w:rsidRDefault="000A5C66" w:rsidP="00FB1278">
            <w:pPr>
              <w:widowControl/>
              <w:spacing w:line="360" w:lineRule="auto"/>
              <w:jc w:val="center"/>
              <w:rPr>
                <w:rFonts w:ascii="仿宋" w:eastAsia="仿宋" w:hAnsi="仿宋" w:cs="仿宋"/>
                <w:b/>
                <w:bCs/>
                <w:color w:val="333333"/>
                <w:sz w:val="18"/>
                <w:szCs w:val="18"/>
                <w:shd w:val="clear" w:color="auto" w:fill="FFFFFF"/>
              </w:rPr>
            </w:pPr>
            <w:r>
              <w:rPr>
                <w:rFonts w:ascii="仿宋" w:eastAsia="仿宋" w:hAnsi="仿宋" w:cs="仿宋" w:hint="eastAsia"/>
                <w:b/>
                <w:bCs/>
                <w:color w:val="333333"/>
                <w:sz w:val="18"/>
                <w:szCs w:val="18"/>
                <w:shd w:val="clear" w:color="auto" w:fill="FFFFFF"/>
              </w:rPr>
              <w:t>作品类别</w:t>
            </w:r>
          </w:p>
        </w:tc>
        <w:tc>
          <w:tcPr>
            <w:tcW w:w="2795" w:type="dxa"/>
            <w:shd w:val="clear" w:color="auto" w:fill="auto"/>
          </w:tcPr>
          <w:p w:rsidR="000A5C66" w:rsidRDefault="000A5C66" w:rsidP="00FB1278">
            <w:pPr>
              <w:widowControl/>
              <w:spacing w:line="360" w:lineRule="auto"/>
              <w:jc w:val="center"/>
              <w:rPr>
                <w:rFonts w:ascii="仿宋" w:eastAsia="仿宋" w:hAnsi="仿宋" w:cs="仿宋"/>
                <w:b/>
                <w:bCs/>
                <w:color w:val="333333"/>
                <w:sz w:val="18"/>
                <w:szCs w:val="18"/>
                <w:shd w:val="clear" w:color="auto" w:fill="FFFFFF"/>
              </w:rPr>
            </w:pPr>
            <w:r>
              <w:rPr>
                <w:rFonts w:ascii="仿宋" w:eastAsia="仿宋" w:hAnsi="仿宋" w:cs="仿宋" w:hint="eastAsia"/>
                <w:b/>
                <w:bCs/>
                <w:color w:val="333333"/>
                <w:sz w:val="18"/>
                <w:szCs w:val="18"/>
                <w:shd w:val="clear" w:color="auto" w:fill="FFFFFF"/>
              </w:rPr>
              <w:t>获奖作品</w:t>
            </w:r>
          </w:p>
        </w:tc>
        <w:tc>
          <w:tcPr>
            <w:tcW w:w="2904" w:type="dxa"/>
            <w:shd w:val="clear" w:color="auto" w:fill="auto"/>
          </w:tcPr>
          <w:p w:rsidR="000A5C66" w:rsidRDefault="000A5C66" w:rsidP="00FB1278">
            <w:pPr>
              <w:widowControl/>
              <w:spacing w:line="360" w:lineRule="auto"/>
              <w:jc w:val="center"/>
              <w:rPr>
                <w:rFonts w:ascii="仿宋" w:eastAsia="仿宋" w:hAnsi="仿宋" w:cs="仿宋"/>
                <w:b/>
                <w:bCs/>
                <w:color w:val="333333"/>
                <w:sz w:val="18"/>
                <w:szCs w:val="18"/>
                <w:shd w:val="clear" w:color="auto" w:fill="FFFFFF"/>
              </w:rPr>
            </w:pPr>
            <w:r>
              <w:rPr>
                <w:rFonts w:ascii="仿宋" w:eastAsia="仿宋" w:hAnsi="仿宋" w:cs="仿宋" w:hint="eastAsia"/>
                <w:b/>
                <w:bCs/>
                <w:color w:val="333333"/>
                <w:sz w:val="18"/>
                <w:szCs w:val="18"/>
                <w:shd w:val="clear" w:color="auto" w:fill="FFFFFF"/>
              </w:rPr>
              <w:t>参赛学生</w:t>
            </w:r>
          </w:p>
        </w:tc>
        <w:tc>
          <w:tcPr>
            <w:tcW w:w="1364" w:type="dxa"/>
            <w:shd w:val="clear" w:color="auto" w:fill="auto"/>
          </w:tcPr>
          <w:p w:rsidR="000A5C66" w:rsidRDefault="000A5C66" w:rsidP="00FB1278">
            <w:pPr>
              <w:widowControl/>
              <w:spacing w:line="360" w:lineRule="auto"/>
              <w:jc w:val="center"/>
              <w:rPr>
                <w:rFonts w:ascii="仿宋" w:eastAsia="仿宋" w:hAnsi="仿宋" w:cs="仿宋"/>
                <w:b/>
                <w:bCs/>
                <w:color w:val="333333"/>
                <w:sz w:val="18"/>
                <w:szCs w:val="18"/>
                <w:shd w:val="clear" w:color="auto" w:fill="FFFFFF"/>
              </w:rPr>
            </w:pPr>
            <w:r>
              <w:rPr>
                <w:rFonts w:ascii="仿宋" w:eastAsia="仿宋" w:hAnsi="仿宋" w:cs="仿宋" w:hint="eastAsia"/>
                <w:b/>
                <w:bCs/>
                <w:color w:val="333333"/>
                <w:sz w:val="18"/>
                <w:szCs w:val="18"/>
                <w:shd w:val="clear" w:color="auto" w:fill="FFFFFF"/>
              </w:rPr>
              <w:t>指导教师</w:t>
            </w:r>
          </w:p>
        </w:tc>
        <w:tc>
          <w:tcPr>
            <w:tcW w:w="1296" w:type="dxa"/>
            <w:shd w:val="clear" w:color="auto" w:fill="auto"/>
          </w:tcPr>
          <w:p w:rsidR="000A5C66" w:rsidRDefault="000A5C66" w:rsidP="00FB1278">
            <w:pPr>
              <w:widowControl/>
              <w:spacing w:line="360" w:lineRule="auto"/>
              <w:jc w:val="center"/>
              <w:rPr>
                <w:rFonts w:ascii="仿宋" w:eastAsia="仿宋" w:hAnsi="仿宋" w:cs="仿宋"/>
                <w:b/>
                <w:bCs/>
                <w:color w:val="333333"/>
                <w:sz w:val="18"/>
                <w:szCs w:val="18"/>
                <w:shd w:val="clear" w:color="auto" w:fill="FFFFFF"/>
              </w:rPr>
            </w:pPr>
            <w:r>
              <w:rPr>
                <w:rFonts w:ascii="仿宋" w:eastAsia="仿宋" w:hAnsi="仿宋" w:cs="仿宋" w:hint="eastAsia"/>
                <w:b/>
                <w:bCs/>
                <w:color w:val="333333"/>
                <w:sz w:val="18"/>
                <w:szCs w:val="18"/>
                <w:shd w:val="clear" w:color="auto" w:fill="FFFFFF"/>
              </w:rPr>
              <w:t>所在学校</w:t>
            </w:r>
          </w:p>
        </w:tc>
      </w:tr>
      <w:tr w:rsidR="000A5C66" w:rsidTr="00FB1278">
        <w:tc>
          <w:tcPr>
            <w:tcW w:w="941" w:type="dxa"/>
            <w:shd w:val="clear" w:color="auto" w:fill="auto"/>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创意设计</w:t>
            </w:r>
          </w:p>
        </w:tc>
        <w:tc>
          <w:tcPr>
            <w:tcW w:w="2795" w:type="dxa"/>
            <w:shd w:val="clear" w:color="auto" w:fill="auto"/>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压电式轧钢厂噪声发电装置</w:t>
            </w:r>
          </w:p>
        </w:tc>
        <w:tc>
          <w:tcPr>
            <w:tcW w:w="2904" w:type="dxa"/>
            <w:shd w:val="clear" w:color="auto" w:fill="auto"/>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王思娴、贾壮壮、杨子月、梁美玲</w:t>
            </w:r>
          </w:p>
        </w:tc>
        <w:tc>
          <w:tcPr>
            <w:tcW w:w="1364" w:type="dxa"/>
            <w:shd w:val="clear" w:color="auto" w:fill="auto"/>
          </w:tcPr>
          <w:p w:rsidR="000A5C66" w:rsidRDefault="000A5C66" w:rsidP="00FB1278">
            <w:pPr>
              <w:widowControl/>
              <w:spacing w:line="360" w:lineRule="auto"/>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张小辉 卿 山</w:t>
            </w:r>
          </w:p>
        </w:tc>
        <w:tc>
          <w:tcPr>
            <w:tcW w:w="1296" w:type="dxa"/>
            <w:shd w:val="clear" w:color="auto" w:fill="auto"/>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昆明理工大学</w:t>
            </w:r>
          </w:p>
        </w:tc>
      </w:tr>
      <w:tr w:rsidR="000A5C66" w:rsidTr="00FB1278">
        <w:tc>
          <w:tcPr>
            <w:tcW w:w="941"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科技创新</w:t>
            </w:r>
          </w:p>
        </w:tc>
        <w:tc>
          <w:tcPr>
            <w:tcW w:w="2795"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一种利用电信号突变表征铁矿粉与</w:t>
            </w:r>
            <w:proofErr w:type="spellStart"/>
            <w:r>
              <w:rPr>
                <w:rFonts w:ascii="仿宋" w:eastAsia="仿宋" w:hAnsi="仿宋" w:cs="仿宋" w:hint="eastAsia"/>
                <w:sz w:val="18"/>
                <w:szCs w:val="18"/>
                <w:shd w:val="clear" w:color="auto" w:fill="FFFFFF"/>
              </w:rPr>
              <w:t>CaO</w:t>
            </w:r>
            <w:proofErr w:type="spellEnd"/>
            <w:r>
              <w:rPr>
                <w:rFonts w:ascii="仿宋" w:eastAsia="仿宋" w:hAnsi="仿宋" w:cs="仿宋" w:hint="eastAsia"/>
                <w:sz w:val="18"/>
                <w:szCs w:val="18"/>
                <w:shd w:val="clear" w:color="auto" w:fill="FFFFFF"/>
              </w:rPr>
              <w:t>最低同化温度的方法</w:t>
            </w:r>
          </w:p>
        </w:tc>
        <w:tc>
          <w:tcPr>
            <w:tcW w:w="2904"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钱立新、李宁、章裕东、王毅璠</w:t>
            </w:r>
          </w:p>
        </w:tc>
        <w:tc>
          <w:tcPr>
            <w:tcW w:w="1364"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孟庆民</w:t>
            </w:r>
          </w:p>
          <w:p w:rsidR="000A5C66" w:rsidRDefault="000A5C66" w:rsidP="00FB1278">
            <w:pPr>
              <w:widowControl/>
              <w:spacing w:line="360" w:lineRule="auto"/>
              <w:jc w:val="center"/>
              <w:rPr>
                <w:rFonts w:ascii="仿宋" w:eastAsia="仿宋" w:hAnsi="仿宋" w:cs="仿宋"/>
                <w:sz w:val="18"/>
                <w:szCs w:val="18"/>
                <w:shd w:val="clear" w:color="auto" w:fill="FFFFFF"/>
              </w:rPr>
            </w:pPr>
            <w:proofErr w:type="gramStart"/>
            <w:r>
              <w:rPr>
                <w:rFonts w:ascii="仿宋" w:eastAsia="仿宋" w:hAnsi="仿宋" w:cs="仿宋" w:hint="eastAsia"/>
                <w:sz w:val="18"/>
                <w:szCs w:val="18"/>
                <w:shd w:val="clear" w:color="auto" w:fill="FFFFFF"/>
              </w:rPr>
              <w:t>龙红明</w:t>
            </w:r>
            <w:proofErr w:type="gramEnd"/>
          </w:p>
        </w:tc>
        <w:tc>
          <w:tcPr>
            <w:tcW w:w="1296"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安徽工业大学</w:t>
            </w:r>
          </w:p>
        </w:tc>
      </w:tr>
      <w:tr w:rsidR="000A5C66" w:rsidTr="00FB1278">
        <w:trPr>
          <w:trHeight w:val="912"/>
        </w:trPr>
        <w:tc>
          <w:tcPr>
            <w:tcW w:w="941"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科技创新</w:t>
            </w:r>
          </w:p>
        </w:tc>
        <w:tc>
          <w:tcPr>
            <w:tcW w:w="2795"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低损耗兼具高磁感，耐高温的铁硅金属磁粉芯 </w:t>
            </w:r>
          </w:p>
        </w:tc>
        <w:tc>
          <w:tcPr>
            <w:tcW w:w="2904"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罗自贵、胡文涛、罗凡、张阳琳</w:t>
            </w:r>
          </w:p>
        </w:tc>
        <w:tc>
          <w:tcPr>
            <w:tcW w:w="1364"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樊希安</w:t>
            </w:r>
          </w:p>
        </w:tc>
        <w:tc>
          <w:tcPr>
            <w:tcW w:w="1296"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武汉科技大学</w:t>
            </w:r>
          </w:p>
        </w:tc>
      </w:tr>
      <w:tr w:rsidR="000A5C66" w:rsidTr="00FB1278">
        <w:tc>
          <w:tcPr>
            <w:tcW w:w="941"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科技创新</w:t>
            </w:r>
          </w:p>
        </w:tc>
        <w:tc>
          <w:tcPr>
            <w:tcW w:w="2795"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基于生物质衍生自支撑阴极的绿色新型</w:t>
            </w:r>
            <w:proofErr w:type="gramStart"/>
            <w:r>
              <w:rPr>
                <w:rFonts w:ascii="仿宋" w:eastAsia="仿宋" w:hAnsi="仿宋" w:cs="仿宋" w:hint="eastAsia"/>
                <w:sz w:val="18"/>
                <w:szCs w:val="18"/>
                <w:shd w:val="clear" w:color="auto" w:fill="FFFFFF"/>
              </w:rPr>
              <w:t>锂</w:t>
            </w:r>
            <w:proofErr w:type="gramEnd"/>
            <w:r>
              <w:rPr>
                <w:rFonts w:ascii="仿宋" w:eastAsia="仿宋" w:hAnsi="仿宋" w:cs="仿宋" w:hint="eastAsia"/>
                <w:sz w:val="18"/>
                <w:szCs w:val="18"/>
                <w:shd w:val="clear" w:color="auto" w:fill="FFFFFF"/>
              </w:rPr>
              <w:t>空气电池</w:t>
            </w:r>
          </w:p>
        </w:tc>
        <w:tc>
          <w:tcPr>
            <w:tcW w:w="2904"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吴刚、章艳佳、吴昊</w:t>
            </w:r>
          </w:p>
        </w:tc>
        <w:tc>
          <w:tcPr>
            <w:tcW w:w="1364"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proofErr w:type="gramStart"/>
            <w:r>
              <w:rPr>
                <w:rFonts w:ascii="仿宋" w:eastAsia="仿宋" w:hAnsi="仿宋" w:cs="仿宋" w:hint="eastAsia"/>
                <w:sz w:val="18"/>
                <w:szCs w:val="18"/>
                <w:shd w:val="clear" w:color="auto" w:fill="FFFFFF"/>
              </w:rPr>
              <w:t>曾晓苑</w:t>
            </w:r>
            <w:proofErr w:type="gramEnd"/>
          </w:p>
        </w:tc>
        <w:tc>
          <w:tcPr>
            <w:tcW w:w="1296"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昆明理工大学</w:t>
            </w:r>
          </w:p>
        </w:tc>
      </w:tr>
      <w:tr w:rsidR="000A5C66" w:rsidTr="00FB1278">
        <w:trPr>
          <w:trHeight w:val="444"/>
        </w:trPr>
        <w:tc>
          <w:tcPr>
            <w:tcW w:w="941"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科技创新</w:t>
            </w:r>
          </w:p>
        </w:tc>
        <w:tc>
          <w:tcPr>
            <w:tcW w:w="2795"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一种利用废弃稀土抛光粉制备玻璃陶瓷的方法 </w:t>
            </w:r>
          </w:p>
        </w:tc>
        <w:tc>
          <w:tcPr>
            <w:tcW w:w="2904"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付杰、</w:t>
            </w:r>
            <w:proofErr w:type="gramStart"/>
            <w:r>
              <w:rPr>
                <w:rFonts w:ascii="仿宋" w:eastAsia="仿宋" w:hAnsi="仿宋" w:cs="仿宋" w:hint="eastAsia"/>
                <w:sz w:val="18"/>
                <w:szCs w:val="18"/>
                <w:shd w:val="clear" w:color="auto" w:fill="FFFFFF"/>
              </w:rPr>
              <w:t>蒋</w:t>
            </w:r>
            <w:proofErr w:type="gramEnd"/>
            <w:r>
              <w:rPr>
                <w:rFonts w:ascii="仿宋" w:eastAsia="仿宋" w:hAnsi="仿宋" w:cs="仿宋" w:hint="eastAsia"/>
                <w:sz w:val="18"/>
                <w:szCs w:val="18"/>
                <w:shd w:val="clear" w:color="auto" w:fill="FFFFFF"/>
              </w:rPr>
              <w:t>昆、黄娅琴</w:t>
            </w:r>
          </w:p>
        </w:tc>
        <w:tc>
          <w:tcPr>
            <w:tcW w:w="1364"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姜茂发</w:t>
            </w:r>
          </w:p>
        </w:tc>
        <w:tc>
          <w:tcPr>
            <w:tcW w:w="1296"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东北大学</w:t>
            </w:r>
          </w:p>
        </w:tc>
      </w:tr>
      <w:tr w:rsidR="000A5C66" w:rsidTr="00FB1278">
        <w:tc>
          <w:tcPr>
            <w:tcW w:w="941"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仿真实训</w:t>
            </w:r>
          </w:p>
        </w:tc>
        <w:tc>
          <w:tcPr>
            <w:tcW w:w="2795"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转炉炼钢仿真实训</w:t>
            </w:r>
          </w:p>
        </w:tc>
        <w:tc>
          <w:tcPr>
            <w:tcW w:w="2904"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彭治强、陶玉祥</w:t>
            </w:r>
          </w:p>
        </w:tc>
        <w:tc>
          <w:tcPr>
            <w:tcW w:w="1364"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祝明妹</w:t>
            </w:r>
          </w:p>
        </w:tc>
        <w:tc>
          <w:tcPr>
            <w:tcW w:w="1296"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重庆大学</w:t>
            </w:r>
          </w:p>
        </w:tc>
      </w:tr>
      <w:tr w:rsidR="000A5C66" w:rsidTr="00FB1278">
        <w:tc>
          <w:tcPr>
            <w:tcW w:w="941"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仿真实训</w:t>
            </w:r>
          </w:p>
        </w:tc>
        <w:tc>
          <w:tcPr>
            <w:tcW w:w="2795"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proofErr w:type="gramStart"/>
            <w:r>
              <w:rPr>
                <w:rFonts w:ascii="仿宋" w:eastAsia="仿宋" w:hAnsi="仿宋" w:cs="仿宋" w:hint="eastAsia"/>
                <w:sz w:val="18"/>
                <w:szCs w:val="18"/>
                <w:shd w:val="clear" w:color="auto" w:fill="FFFFFF"/>
              </w:rPr>
              <w:t>铜转炉火法冶</w:t>
            </w:r>
            <w:proofErr w:type="gramEnd"/>
            <w:r>
              <w:rPr>
                <w:rFonts w:ascii="仿宋" w:eastAsia="仿宋" w:hAnsi="仿宋" w:cs="仿宋" w:hint="eastAsia"/>
                <w:sz w:val="18"/>
                <w:szCs w:val="18"/>
                <w:shd w:val="clear" w:color="auto" w:fill="FFFFFF"/>
              </w:rPr>
              <w:t>炼仿真实训</w:t>
            </w:r>
          </w:p>
        </w:tc>
        <w:tc>
          <w:tcPr>
            <w:tcW w:w="2904"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王超、周延财</w:t>
            </w:r>
          </w:p>
        </w:tc>
        <w:tc>
          <w:tcPr>
            <w:tcW w:w="1364"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苏瑞娟</w:t>
            </w:r>
          </w:p>
        </w:tc>
        <w:tc>
          <w:tcPr>
            <w:tcW w:w="1296" w:type="dxa"/>
            <w:shd w:val="clear" w:color="auto" w:fill="auto"/>
            <w:vAlign w:val="center"/>
          </w:tcPr>
          <w:p w:rsidR="000A5C66" w:rsidRDefault="000A5C66" w:rsidP="00FB1278">
            <w:pPr>
              <w:widowControl/>
              <w:spacing w:line="360" w:lineRule="auto"/>
              <w:jc w:val="center"/>
              <w:rPr>
                <w:rFonts w:ascii="仿宋" w:eastAsia="仿宋" w:hAnsi="仿宋" w:cs="仿宋"/>
                <w:sz w:val="18"/>
                <w:szCs w:val="18"/>
                <w:shd w:val="clear" w:color="auto" w:fill="FFFFFF"/>
              </w:rPr>
            </w:pPr>
            <w:r>
              <w:rPr>
                <w:rFonts w:ascii="仿宋" w:eastAsia="仿宋" w:hAnsi="仿宋" w:cs="仿宋" w:hint="eastAsia"/>
                <w:sz w:val="18"/>
                <w:szCs w:val="18"/>
                <w:shd w:val="clear" w:color="auto" w:fill="FFFFFF"/>
              </w:rPr>
              <w:t>甘肃有色冶金职业技术学院</w:t>
            </w:r>
          </w:p>
        </w:tc>
      </w:tr>
    </w:tbl>
    <w:p w:rsidR="00A05877" w:rsidRDefault="000A5C66">
      <w:bookmarkStart w:id="0" w:name="_GoBack"/>
      <w:bookmarkEnd w:id="0"/>
    </w:p>
    <w:sectPr w:rsidR="00A05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C66"/>
    <w:rsid w:val="000A5C66"/>
    <w:rsid w:val="00165C1C"/>
    <w:rsid w:val="00F3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6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6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微软中国</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2019-04-03T08:07:00Z</dcterms:created>
  <dcterms:modified xsi:type="dcterms:W3CDTF">2019-04-03T08:07:00Z</dcterms:modified>
</cp:coreProperties>
</file>